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405BF3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405BF3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br/>
      </w:r>
      <w:r w:rsidRPr="00405BF3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C344C9" w:rsidRPr="00405BF3">
        <w:rPr>
          <w:rFonts w:eastAsia="Times New Roman"/>
          <w:spacing w:val="-6"/>
          <w:sz w:val="30"/>
          <w:szCs w:val="20"/>
          <w:lang w:eastAsia="ru-RU"/>
        </w:rPr>
        <w:t>5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Pr="00405BF3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405BF3" w:rsidRDefault="00B11565" w:rsidP="00B11565">
      <w:pPr>
        <w:ind w:firstLine="709"/>
        <w:rPr>
          <w:rFonts w:eastAsia="Times New Roman"/>
          <w:spacing w:val="-8"/>
          <w:sz w:val="30"/>
          <w:szCs w:val="30"/>
          <w:lang w:eastAsia="ru-RU"/>
        </w:rPr>
      </w:pPr>
      <w:r w:rsidRPr="00405BF3">
        <w:rPr>
          <w:rFonts w:eastAsia="Times New Roman"/>
          <w:spacing w:val="-8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Мин</w:t>
      </w:r>
      <w:r w:rsidR="0041262A" w:rsidRPr="00405BF3">
        <w:rPr>
          <w:rFonts w:eastAsia="Times New Roman"/>
          <w:spacing w:val="-8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в январе –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июне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202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г. в результате несчастных случаев на производстве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3E54A3" w:rsidRPr="00405BF3">
        <w:rPr>
          <w:rFonts w:eastAsia="Times New Roman"/>
          <w:spacing w:val="-8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травмирован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ы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, как и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за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аналогичный период 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024 год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1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62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3B34AB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8A6649" w:rsidRPr="00405BF3">
        <w:rPr>
          <w:rFonts w:eastAsia="Times New Roman"/>
          <w:spacing w:val="-8"/>
          <w:sz w:val="30"/>
          <w:szCs w:val="30"/>
          <w:lang w:eastAsia="ru-RU"/>
        </w:rPr>
        <w:t xml:space="preserve">.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Количество погибших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увеличилось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с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2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человек,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количество потерпевших, получивших тяжелые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производственные травмы с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54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1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.</w:t>
      </w:r>
    </w:p>
    <w:p w:rsidR="00C344C9" w:rsidRPr="00405BF3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405BF3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1C3121C" wp14:editId="539A7B8F">
            <wp:extent cx="6090249" cy="4390845"/>
            <wp:effectExtent l="0" t="0" r="63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405BF3" w:rsidRDefault="008A6649" w:rsidP="008A6649">
      <w:pPr>
        <w:ind w:firstLine="709"/>
        <w:rPr>
          <w:sz w:val="16"/>
          <w:szCs w:val="16"/>
        </w:rPr>
      </w:pPr>
    </w:p>
    <w:p w:rsidR="00043CDC" w:rsidRPr="00405BF3" w:rsidRDefault="00043CDC" w:rsidP="00043CDC">
      <w:pPr>
        <w:rPr>
          <w:i/>
          <w:sz w:val="24"/>
          <w:szCs w:val="24"/>
        </w:rPr>
      </w:pPr>
      <w:r w:rsidRPr="00405BF3">
        <w:rPr>
          <w:i/>
          <w:sz w:val="24"/>
          <w:szCs w:val="24"/>
        </w:rPr>
        <w:t>* - в том числе 1 случай по итогам расследования в июле 2025 года признан непроизводственным</w:t>
      </w:r>
    </w:p>
    <w:p w:rsidR="00043CDC" w:rsidRPr="00405BF3" w:rsidRDefault="00043CDC" w:rsidP="00394871">
      <w:pPr>
        <w:ind w:firstLine="709"/>
        <w:rPr>
          <w:sz w:val="30"/>
          <w:szCs w:val="30"/>
        </w:rPr>
      </w:pPr>
    </w:p>
    <w:p w:rsidR="00080485" w:rsidRDefault="00080485" w:rsidP="00394871">
      <w:pPr>
        <w:ind w:firstLine="709"/>
        <w:rPr>
          <w:sz w:val="30"/>
          <w:szCs w:val="30"/>
        </w:rPr>
      </w:pPr>
    </w:p>
    <w:p w:rsidR="00933D06" w:rsidRPr="00405BF3" w:rsidRDefault="00394871" w:rsidP="00394871">
      <w:pPr>
        <w:ind w:firstLine="709"/>
        <w:rPr>
          <w:sz w:val="30"/>
          <w:szCs w:val="30"/>
        </w:rPr>
      </w:pPr>
      <w:r w:rsidRPr="00405BF3">
        <w:rPr>
          <w:sz w:val="30"/>
          <w:szCs w:val="30"/>
        </w:rPr>
        <w:t>В первом полугодии текущего года произошл</w:t>
      </w:r>
      <w:r w:rsidR="00933D06" w:rsidRPr="00405BF3">
        <w:rPr>
          <w:sz w:val="30"/>
          <w:szCs w:val="30"/>
        </w:rPr>
        <w:t>о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 xml:space="preserve">два </w:t>
      </w:r>
      <w:r w:rsidRPr="00405BF3">
        <w:rPr>
          <w:sz w:val="30"/>
          <w:szCs w:val="30"/>
        </w:rPr>
        <w:t>группов</w:t>
      </w:r>
      <w:r w:rsidR="00933D06" w:rsidRPr="00405BF3">
        <w:rPr>
          <w:sz w:val="30"/>
          <w:szCs w:val="30"/>
        </w:rPr>
        <w:t>ых</w:t>
      </w:r>
      <w:r w:rsidRPr="00405BF3">
        <w:rPr>
          <w:sz w:val="30"/>
          <w:szCs w:val="30"/>
        </w:rPr>
        <w:t xml:space="preserve"> несчастный случа</w:t>
      </w:r>
      <w:r w:rsidR="00933D06" w:rsidRPr="00405BF3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>с тяжелыми последствиями</w:t>
      </w:r>
      <w:r w:rsidR="00994C02" w:rsidRPr="00405BF3">
        <w:rPr>
          <w:sz w:val="30"/>
          <w:szCs w:val="30"/>
        </w:rPr>
        <w:t>,</w:t>
      </w:r>
      <w:r w:rsidR="00933D06" w:rsidRPr="00405BF3">
        <w:rPr>
          <w:sz w:val="30"/>
          <w:szCs w:val="30"/>
        </w:rPr>
        <w:t xml:space="preserve"> в результате которых пострадали 4 человека, 2 из которых погибли и 2 получили тяжелые травмы</w:t>
      </w:r>
      <w:r w:rsidR="00994C02" w:rsidRPr="00405BF3">
        <w:rPr>
          <w:sz w:val="30"/>
          <w:szCs w:val="30"/>
        </w:rPr>
        <w:t xml:space="preserve"> (за аналогичный период 2024 года – 1 несчастный случай, где </w:t>
      </w:r>
      <w:r w:rsidR="00646042" w:rsidRPr="00405BF3">
        <w:rPr>
          <w:sz w:val="30"/>
          <w:szCs w:val="30"/>
        </w:rPr>
        <w:br/>
      </w:r>
      <w:r w:rsidR="00994C02" w:rsidRPr="00405BF3">
        <w:rPr>
          <w:sz w:val="30"/>
          <w:szCs w:val="30"/>
        </w:rPr>
        <w:t xml:space="preserve">в результате дорожно-транспортного происшествия 2 </w:t>
      </w:r>
      <w:r w:rsidR="00F9734B" w:rsidRPr="00405BF3">
        <w:rPr>
          <w:sz w:val="30"/>
          <w:szCs w:val="30"/>
        </w:rPr>
        <w:t>человека</w:t>
      </w:r>
      <w:r w:rsidR="00994C02" w:rsidRPr="00405BF3">
        <w:rPr>
          <w:sz w:val="30"/>
          <w:szCs w:val="30"/>
        </w:rPr>
        <w:t xml:space="preserve"> получили тяжелые травмы, 1 – травму,</w:t>
      </w:r>
      <w:r w:rsidR="00F9734B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не относящуюся</w:t>
      </w:r>
      <w:r w:rsidR="00646042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к категории тяжелых).</w:t>
      </w:r>
    </w:p>
    <w:p w:rsidR="00BB78F9" w:rsidRPr="00405BF3" w:rsidRDefault="00BB78F9" w:rsidP="00BB78F9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lastRenderedPageBreak/>
        <w:t xml:space="preserve">Справочно. 26.04.2025 при выполнении работ по монтажу строительного подъемника </w:t>
      </w:r>
      <w:r w:rsidRPr="00405BF3">
        <w:rPr>
          <w:bCs/>
          <w:i/>
          <w:sz w:val="30"/>
          <w:szCs w:val="30"/>
        </w:rPr>
        <w:t>на объекте</w:t>
      </w:r>
      <w:r w:rsidRPr="00405BF3">
        <w:rPr>
          <w:b/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«Реконструкция здания </w:t>
      </w:r>
      <w:r w:rsidR="00646042" w:rsidRPr="00405BF3">
        <w:rPr>
          <w:bCs/>
          <w:i/>
          <w:sz w:val="30"/>
          <w:szCs w:val="30"/>
        </w:rPr>
        <w:br/>
      </w:r>
      <w:r w:rsidRPr="00405BF3">
        <w:rPr>
          <w:bCs/>
          <w:i/>
          <w:sz w:val="30"/>
          <w:szCs w:val="30"/>
        </w:rPr>
        <w:t>по</w:t>
      </w:r>
      <w:r w:rsidR="00646042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>ул. Мясникова, 5,</w:t>
      </w:r>
      <w:r w:rsidR="0096513A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в г. Минске с изменением функционального назначения под административно-хозяйственное здание» произошло падение рабочей платформы с высоты 9-12 метров, на которой размещались работники ООО «СТФ - монтаж» (Червенский район). В результате несчастного случая подсобный рабочий </w:t>
      </w:r>
      <w:r w:rsidRPr="00405BF3">
        <w:rPr>
          <w:i/>
          <w:sz w:val="30"/>
          <w:szCs w:val="30"/>
        </w:rPr>
        <w:t>погиб, а монтажник строительных конструкций получил тяжелую производственную травму.</w:t>
      </w:r>
    </w:p>
    <w:p w:rsidR="0096513A" w:rsidRPr="00405BF3" w:rsidRDefault="00BB78F9" w:rsidP="0096513A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t>11.06.2025</w:t>
      </w:r>
      <w:r w:rsidR="0096513A" w:rsidRPr="00405BF3">
        <w:rPr>
          <w:i/>
          <w:sz w:val="30"/>
          <w:szCs w:val="30"/>
        </w:rPr>
        <w:t xml:space="preserve"> при выполнени</w:t>
      </w:r>
      <w:r w:rsidR="00262F22" w:rsidRPr="00405BF3">
        <w:rPr>
          <w:i/>
          <w:sz w:val="30"/>
          <w:szCs w:val="30"/>
        </w:rPr>
        <w:t>и</w:t>
      </w:r>
      <w:r w:rsidR="0096513A" w:rsidRPr="00405BF3">
        <w:rPr>
          <w:i/>
          <w:sz w:val="30"/>
          <w:szCs w:val="30"/>
        </w:rPr>
        <w:t xml:space="preserve"> работ по утеплению фасадов строящегося </w:t>
      </w:r>
      <w:r w:rsidR="00262F22" w:rsidRPr="00405BF3">
        <w:rPr>
          <w:i/>
          <w:sz w:val="30"/>
          <w:szCs w:val="30"/>
        </w:rPr>
        <w:t xml:space="preserve">жилого </w:t>
      </w:r>
      <w:r w:rsidR="0096513A" w:rsidRPr="00405BF3">
        <w:rPr>
          <w:i/>
          <w:sz w:val="30"/>
          <w:szCs w:val="30"/>
        </w:rPr>
        <w:t xml:space="preserve">здания </w:t>
      </w:r>
      <w:r w:rsidR="00262F22" w:rsidRPr="00405BF3">
        <w:rPr>
          <w:i/>
          <w:sz w:val="30"/>
          <w:szCs w:val="30"/>
        </w:rPr>
        <w:t xml:space="preserve">в </w:t>
      </w:r>
      <w:r w:rsidR="0096513A" w:rsidRPr="00405BF3">
        <w:rPr>
          <w:i/>
          <w:sz w:val="30"/>
          <w:szCs w:val="30"/>
        </w:rPr>
        <w:t xml:space="preserve">г.п. Мачулищи в результате обрыва троса люльки фасадного двухподвесного подъемника произошло падение </w:t>
      </w:r>
      <w:r w:rsidR="00646042" w:rsidRPr="00405BF3">
        <w:rPr>
          <w:i/>
          <w:sz w:val="30"/>
          <w:szCs w:val="30"/>
        </w:rPr>
        <w:br/>
      </w:r>
      <w:r w:rsidR="0096513A" w:rsidRPr="00405BF3">
        <w:rPr>
          <w:i/>
          <w:sz w:val="30"/>
          <w:szCs w:val="30"/>
        </w:rPr>
        <w:t xml:space="preserve">на землю с высоты около 15 м находившихся в </w:t>
      </w:r>
      <w:r w:rsidR="00262F22" w:rsidRPr="00405BF3">
        <w:rPr>
          <w:i/>
          <w:sz w:val="30"/>
          <w:szCs w:val="30"/>
        </w:rPr>
        <w:t xml:space="preserve">ней </w:t>
      </w:r>
      <w:r w:rsidR="00F9734B" w:rsidRPr="00405BF3">
        <w:rPr>
          <w:i/>
          <w:sz w:val="30"/>
          <w:szCs w:val="30"/>
        </w:rPr>
        <w:t xml:space="preserve">работников </w:t>
      </w:r>
      <w:r w:rsidR="00F9734B" w:rsidRPr="00405BF3">
        <w:rPr>
          <w:i/>
          <w:sz w:val="30"/>
          <w:szCs w:val="30"/>
        </w:rPr>
        <w:br/>
        <w:t>(ОО</w:t>
      </w:r>
      <w:r w:rsidR="0096513A" w:rsidRPr="00405BF3">
        <w:rPr>
          <w:i/>
          <w:sz w:val="30"/>
          <w:szCs w:val="30"/>
        </w:rPr>
        <w:t>О «Сивора»</w:t>
      </w:r>
      <w:r w:rsidR="00262F22" w:rsidRPr="00405BF3">
        <w:rPr>
          <w:i/>
          <w:sz w:val="30"/>
          <w:szCs w:val="30"/>
        </w:rPr>
        <w:t xml:space="preserve">, </w:t>
      </w:r>
      <w:r w:rsidR="0096513A" w:rsidRPr="00405BF3">
        <w:rPr>
          <w:i/>
          <w:sz w:val="30"/>
          <w:szCs w:val="30"/>
        </w:rPr>
        <w:t>Минский район</w:t>
      </w:r>
      <w:r w:rsidR="00F9734B" w:rsidRPr="00405BF3">
        <w:rPr>
          <w:i/>
          <w:sz w:val="30"/>
          <w:szCs w:val="30"/>
        </w:rPr>
        <w:t>)</w:t>
      </w:r>
      <w:r w:rsidR="0096513A" w:rsidRPr="00405BF3">
        <w:rPr>
          <w:i/>
          <w:sz w:val="30"/>
          <w:szCs w:val="30"/>
        </w:rPr>
        <w:t xml:space="preserve">. </w:t>
      </w:r>
      <w:r w:rsidR="0096513A" w:rsidRPr="00405BF3">
        <w:rPr>
          <w:bCs/>
          <w:i/>
          <w:sz w:val="30"/>
          <w:szCs w:val="30"/>
        </w:rPr>
        <w:t xml:space="preserve">В результате несчастного случая гражданин, работавший без оформления трудовых либо гражданско-правовых отношений, погиб, а подсобный рабочий </w:t>
      </w:r>
      <w:r w:rsidR="0096513A" w:rsidRPr="00405BF3">
        <w:rPr>
          <w:i/>
          <w:sz w:val="30"/>
          <w:szCs w:val="30"/>
        </w:rPr>
        <w:t>получил тяжелую производственную травму.</w:t>
      </w:r>
    </w:p>
    <w:p w:rsidR="00F9734B" w:rsidRPr="00405BF3" w:rsidRDefault="00F9734B" w:rsidP="0096513A">
      <w:pPr>
        <w:ind w:firstLine="709"/>
        <w:rPr>
          <w:i/>
          <w:sz w:val="30"/>
          <w:szCs w:val="30"/>
        </w:rPr>
      </w:pPr>
    </w:p>
    <w:p w:rsidR="00394871" w:rsidRPr="00405BF3" w:rsidRDefault="002E1472" w:rsidP="002E1472">
      <w:pPr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68831069" wp14:editId="071988D4">
            <wp:extent cx="6116128" cy="439084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405BF3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405BF3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0</w:t>
      </w:r>
      <w:r w:rsidR="006362FC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7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 w:rsidR="00E91C81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3143BC" w:rsidRPr="00405BF3" w:rsidRDefault="003143B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3143BC" w:rsidRPr="00405BF3" w:rsidRDefault="003143BC" w:rsidP="003143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lastRenderedPageBreak/>
        <w:drawing>
          <wp:inline distT="0" distB="0" distL="0" distR="0" wp14:anchorId="79A2EA14" wp14:editId="79FB02E3">
            <wp:extent cx="6116128" cy="336430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2F22" w:rsidRPr="00405BF3" w:rsidRDefault="00262F22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0232B6" w:rsidRPr="00405BF3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уменьшилось на 1 человека, количество тяжело травмированных увеличилось на 5 человек.</w:t>
      </w:r>
    </w:p>
    <w:p w:rsidR="00262F22" w:rsidRPr="00405BF3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величилось на 1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405BF3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20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405BF3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5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405BF3">
        <w:rPr>
          <w:rFonts w:eastAsia="Times New Roman"/>
          <w:spacing w:val="-6"/>
          <w:sz w:val="30"/>
          <w:szCs w:val="30"/>
          <w:lang w:eastAsia="ru-RU"/>
        </w:rPr>
        <w:t>илось на 8 человек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405BF3" w:rsidRDefault="00E466C8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E466C8" w:rsidRPr="00405BF3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DAAC7CF" wp14:editId="0BC02818">
            <wp:extent cx="6116128" cy="371798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53EF" w:rsidRPr="00405BF3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</w:t>
      </w:r>
      <w:r w:rsidR="009E53EF" w:rsidRPr="00405BF3">
        <w:rPr>
          <w:rFonts w:eastAsia="Times New Roman"/>
          <w:sz w:val="30"/>
          <w:szCs w:val="30"/>
          <w:lang w:eastAsia="ru-RU"/>
        </w:rPr>
        <w:t>«Несвижские Островки»</w:t>
      </w:r>
      <w:r w:rsidR="009E53EF" w:rsidRPr="00405BF3">
        <w:rPr>
          <w:spacing w:val="-4"/>
          <w:sz w:val="30"/>
          <w:szCs w:val="30"/>
        </w:rPr>
        <w:t xml:space="preserve"> Несвижского района, </w:t>
      </w:r>
      <w:r w:rsidR="00646042"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ОАО </w:t>
      </w:r>
      <w:r w:rsidR="009E53EF" w:rsidRPr="00405BF3">
        <w:rPr>
          <w:rFonts w:eastAsia="Times New Roman"/>
          <w:sz w:val="30"/>
          <w:szCs w:val="30"/>
          <w:lang w:eastAsia="ru-RU"/>
        </w:rPr>
        <w:t>«Витко-Агро»</w:t>
      </w:r>
      <w:r w:rsidR="009E53EF" w:rsidRPr="00405BF3">
        <w:rPr>
          <w:spacing w:val="-4"/>
          <w:sz w:val="30"/>
          <w:szCs w:val="30"/>
        </w:rPr>
        <w:t xml:space="preserve"> Слуцкого района</w:t>
      </w:r>
      <w:r w:rsidR="00811DE8" w:rsidRPr="00405BF3">
        <w:rPr>
          <w:spacing w:val="-4"/>
          <w:sz w:val="30"/>
          <w:szCs w:val="30"/>
        </w:rPr>
        <w:t>)</w:t>
      </w:r>
      <w:r w:rsidR="00314B73" w:rsidRPr="00405BF3">
        <w:rPr>
          <w:spacing w:val="-4"/>
          <w:sz w:val="30"/>
          <w:szCs w:val="30"/>
        </w:rPr>
        <w:t>,</w:t>
      </w:r>
      <w:r w:rsidR="00811DE8" w:rsidRPr="00405BF3">
        <w:rPr>
          <w:spacing w:val="-4"/>
          <w:sz w:val="30"/>
          <w:szCs w:val="30"/>
        </w:rPr>
        <w:t xml:space="preserve"> и </w:t>
      </w:r>
      <w:r w:rsidR="001428D0" w:rsidRPr="00405BF3">
        <w:rPr>
          <w:spacing w:val="-4"/>
          <w:sz w:val="30"/>
          <w:szCs w:val="30"/>
        </w:rPr>
        <w:t>двух организациях, подведомственных ко</w:t>
      </w:r>
      <w:r w:rsidR="00811DE8" w:rsidRPr="00405BF3">
        <w:rPr>
          <w:spacing w:val="-4"/>
          <w:sz w:val="30"/>
          <w:szCs w:val="30"/>
        </w:rPr>
        <w:t>митету по архитектуре и строительству</w:t>
      </w:r>
      <w:r w:rsidR="001428D0" w:rsidRPr="00405BF3">
        <w:rPr>
          <w:spacing w:val="-4"/>
          <w:sz w:val="30"/>
          <w:szCs w:val="30"/>
        </w:rPr>
        <w:t xml:space="preserve"> </w:t>
      </w:r>
      <w:r w:rsidR="00811DE8" w:rsidRPr="00405BF3">
        <w:rPr>
          <w:spacing w:val="-4"/>
          <w:sz w:val="30"/>
          <w:szCs w:val="30"/>
        </w:rPr>
        <w:t>(</w:t>
      </w:r>
      <w:r w:rsidR="001428D0" w:rsidRPr="00405BF3">
        <w:rPr>
          <w:spacing w:val="-4"/>
          <w:sz w:val="30"/>
          <w:szCs w:val="30"/>
        </w:rPr>
        <w:t>ф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405BF3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«Строительно-монтажный трест № 8» г. Жодино, строительное управление № 95 </w:t>
      </w:r>
      <w:r w:rsidR="00646042" w:rsidRPr="00405BF3">
        <w:rPr>
          <w:rFonts w:eastAsia="Times New Roman"/>
          <w:sz w:val="30"/>
          <w:szCs w:val="30"/>
          <w:lang w:eastAsia="ru-RU"/>
        </w:rPr>
        <w:br/>
        <w:t>ОАО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Солигорского района).</w:t>
      </w:r>
    </w:p>
    <w:p w:rsidR="001E5B21" w:rsidRPr="003C778A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3C778A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сельскому хозяйству и продовольствию облисполкома (с 7 до 17), комитету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архитектуре и строительству облисполкома (с 3 до 6)</w:t>
      </w:r>
      <w:r w:rsidR="001E5B21" w:rsidRPr="003C778A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3C778A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3C778A">
        <w:rPr>
          <w:rFonts w:eastAsia="Times New Roman"/>
          <w:sz w:val="30"/>
          <w:szCs w:val="30"/>
          <w:lang w:eastAsia="ru-RU"/>
        </w:rPr>
        <w:t>области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3C778A">
        <w:rPr>
          <w:rFonts w:eastAsia="Times New Roman"/>
          <w:sz w:val="30"/>
          <w:szCs w:val="30"/>
          <w:lang w:eastAsia="ru-RU"/>
        </w:rPr>
        <w:t>(с 0 до 4).</w:t>
      </w:r>
    </w:p>
    <w:p w:rsidR="00535A85" w:rsidRPr="00405BF3" w:rsidRDefault="00535A85" w:rsidP="001E5B21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1E5B21" w:rsidRPr="00405BF3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lang w:eastAsia="ru-RU"/>
        </w:rPr>
        <w:drawing>
          <wp:inline distT="0" distB="0" distL="0" distR="0" wp14:anchorId="65CED6AA" wp14:editId="4B0E2F91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463F" w:rsidRPr="00405BF3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январе – июне </w:t>
      </w:r>
      <w:r w:rsidR="00646042" w:rsidRPr="00405BF3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травмирования работников в организациях </w:t>
      </w:r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Клецкого, Крупского, Логойского и Узденского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Pr="00405BF3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  <w:t>в организациях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Вилейского,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Воложинского, Дзержинского,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Мядельского,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Пуховичского </w:t>
      </w:r>
      <w:r w:rsidR="001540BE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Стародорожского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405BF3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405BF3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405BF3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Дзержинского, Молодечненского, Пуховичского, Слуцкого, Смолевичского, Стародорожского, Столбцовского и Червенского районов.</w:t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производстве, на 10 тыс. застрахованных в организациях г. Жодино, Березинского, 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Любанского, Молодечненского, Пуховичского, Слуцкого,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Смолевичского, Стародорожского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, Столбцовского и Червенского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02AB4" w:rsidRPr="00405BF3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7A43B885" wp14:editId="130AC745">
            <wp:extent cx="6116128" cy="455474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405BF3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территориях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Молодечненского, Слуцкого, Столбцовского и Червенского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Рост числа несчастных случаев на производстве со смертельным исходом допущен в организациях, расположенных на территориях Борисовского, Копыльского и Солигорского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к тяжелым производственным травмам, допущен в организациях, расположенных на территориях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г. Жодино, Вилейского, Воложинского, Дзержинского, Любанского, </w:t>
      </w:r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Смолевичского, Стародорожского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2C7D48" w:rsidRPr="00405BF3" w:rsidRDefault="002C7D48" w:rsidP="002C7D48">
      <w:pPr>
        <w:rPr>
          <w:spacing w:val="-4"/>
          <w:sz w:val="16"/>
          <w:szCs w:val="16"/>
        </w:rPr>
      </w:pPr>
    </w:p>
    <w:p w:rsidR="002C7D48" w:rsidRPr="00405BF3" w:rsidRDefault="002C7D48" w:rsidP="002C7D48">
      <w:pPr>
        <w:rPr>
          <w:spacing w:val="-4"/>
          <w:sz w:val="16"/>
          <w:szCs w:val="16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1F8B6CC6" wp14:editId="42D89F14">
            <wp:extent cx="6117167" cy="35602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D48" w:rsidRPr="00405BF3" w:rsidRDefault="002C7D48" w:rsidP="002516EF">
      <w:pPr>
        <w:ind w:firstLine="709"/>
        <w:rPr>
          <w:spacing w:val="-4"/>
          <w:sz w:val="16"/>
          <w:szCs w:val="16"/>
        </w:rPr>
      </w:pPr>
    </w:p>
    <w:p w:rsidR="00907252" w:rsidRPr="00405BF3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0B5B901F" wp14:editId="52B49E2C">
            <wp:extent cx="6116128" cy="379562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4C5F" w:rsidRPr="00405BF3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сельск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ого хозяйства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.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В январе – июне 202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5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 г.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в этих организациях в результате несчастных случаев на производстве погибли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6, 5 и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человека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соответственно.</w:t>
      </w:r>
    </w:p>
    <w:p w:rsidR="0011463F" w:rsidRPr="00405BF3" w:rsidRDefault="00293256" w:rsidP="002C7D48">
      <w:pPr>
        <w:rPr>
          <w:spacing w:val="-4"/>
          <w:sz w:val="16"/>
          <w:szCs w:val="16"/>
        </w:rPr>
      </w:pPr>
      <w:r w:rsidRPr="00405BF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624DE90" wp14:editId="7F7B3FAE">
            <wp:simplePos x="0" y="0"/>
            <wp:positionH relativeFrom="column">
              <wp:posOffset>3267578</wp:posOffset>
            </wp:positionH>
            <wp:positionV relativeFrom="paragraph">
              <wp:posOffset>159984</wp:posOffset>
            </wp:positionV>
            <wp:extent cx="2656936" cy="2311879"/>
            <wp:effectExtent l="0" t="0" r="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D48" w:rsidRPr="00405BF3">
        <w:rPr>
          <w:noProof/>
          <w:lang w:eastAsia="ru-RU"/>
        </w:rPr>
        <w:drawing>
          <wp:inline distT="0" distB="0" distL="0" distR="0" wp14:anchorId="364702B4" wp14:editId="5D3F7D0B">
            <wp:extent cx="6116128" cy="3295291"/>
            <wp:effectExtent l="0" t="0" r="0" b="63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405BF3" w:rsidRDefault="0060257F" w:rsidP="002516EF">
      <w:pPr>
        <w:ind w:firstLine="709"/>
        <w:rPr>
          <w:spacing w:val="-4"/>
          <w:sz w:val="16"/>
          <w:szCs w:val="16"/>
        </w:rPr>
      </w:pPr>
    </w:p>
    <w:p w:rsidR="00941595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B75A3">
        <w:rPr>
          <w:rFonts w:eastAsia="Times New Roman"/>
          <w:spacing w:val="-4"/>
          <w:sz w:val="30"/>
          <w:szCs w:val="30"/>
          <w:lang w:eastAsia="ru-RU"/>
        </w:rPr>
        <w:t>По сравнению с январем – июнем 202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4</w:t>
      </w:r>
      <w:r w:rsidRPr="00EB75A3">
        <w:rPr>
          <w:rFonts w:eastAsia="Times New Roman"/>
          <w:spacing w:val="-4"/>
          <w:sz w:val="30"/>
          <w:szCs w:val="30"/>
          <w:lang w:eastAsia="ru-RU"/>
        </w:rPr>
        <w:t xml:space="preserve"> г. рост численности потерпевших, получивших тяжелые травмы, отмечен в организациях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промышленности, сельского, лесного хозяйства,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080485" w:rsidRPr="00EB75A3">
        <w:rPr>
          <w:rFonts w:eastAsia="Times New Roman"/>
          <w:spacing w:val="-4"/>
          <w:sz w:val="30"/>
          <w:szCs w:val="30"/>
          <w:lang w:eastAsia="ru-RU"/>
        </w:rPr>
        <w:t>,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осуществляющих транспортную деятельность, снабжение электроэнергией, газом, паром, горячей водой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, горнодобывающей промышленности, образования и сферы</w:t>
      </w:r>
      <w:r w:rsidR="00AE60AF" w:rsidRPr="00EB75A3">
        <w:t xml:space="preserve"> 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 xml:space="preserve">творчества, спорта, развлечений </w:t>
      </w:r>
      <w:r w:rsidR="00462715" w:rsidRPr="00EB75A3">
        <w:rPr>
          <w:rFonts w:eastAsia="Times New Roman"/>
          <w:spacing w:val="-4"/>
          <w:sz w:val="30"/>
          <w:szCs w:val="30"/>
          <w:lang w:eastAsia="ru-RU"/>
        </w:rPr>
        <w:br/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и отдыха.</w:t>
      </w:r>
    </w:p>
    <w:p w:rsidR="00EE656D" w:rsidRDefault="00EE656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941595" w:rsidRPr="00405BF3" w:rsidRDefault="00941595" w:rsidP="00941595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sz w:val="24"/>
          <w:szCs w:val="24"/>
          <w:lang w:eastAsia="ru-RU"/>
        </w:rPr>
        <w:drawing>
          <wp:inline distT="0" distB="0" distL="0" distR="0" wp14:anchorId="67ACFE0A" wp14:editId="729AA6D0">
            <wp:extent cx="6116128" cy="3217653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1247" w:rsidRPr="00405BF3" w:rsidRDefault="00C66C65" w:rsidP="005C1247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lastRenderedPageBreak/>
        <w:t xml:space="preserve">Основным травмирующим фактором, приведшим к несчастным случаям на производстве с тяжелыми последствиями, явилось </w:t>
      </w:r>
      <w:r w:rsidR="00A828B8" w:rsidRPr="00405BF3">
        <w:rPr>
          <w:spacing w:val="-4"/>
          <w:sz w:val="30"/>
          <w:szCs w:val="30"/>
        </w:rPr>
        <w:t>падение потерпевшего, в результате чего 5 человек погибли (29,4 % от общего числа смертельно травмированных), 3</w:t>
      </w:r>
      <w:r w:rsidR="007A4CC1">
        <w:rPr>
          <w:spacing w:val="-4"/>
          <w:sz w:val="30"/>
          <w:szCs w:val="30"/>
        </w:rPr>
        <w:t>1</w:t>
      </w:r>
      <w:r w:rsidR="00A828B8" w:rsidRPr="00405BF3">
        <w:rPr>
          <w:spacing w:val="-4"/>
          <w:sz w:val="30"/>
          <w:szCs w:val="30"/>
        </w:rPr>
        <w:t xml:space="preserve"> человек получил тяжелые производственные травмы (4</w:t>
      </w:r>
      <w:r w:rsidR="007A4CC1">
        <w:rPr>
          <w:spacing w:val="-4"/>
          <w:sz w:val="30"/>
          <w:szCs w:val="30"/>
        </w:rPr>
        <w:t>3</w:t>
      </w:r>
      <w:r w:rsidR="00A828B8" w:rsidRPr="00405BF3">
        <w:rPr>
          <w:spacing w:val="-4"/>
          <w:sz w:val="30"/>
          <w:szCs w:val="30"/>
        </w:rPr>
        <w:t>,</w:t>
      </w:r>
      <w:r w:rsidR="007A4CC1">
        <w:rPr>
          <w:spacing w:val="-4"/>
          <w:sz w:val="30"/>
          <w:szCs w:val="30"/>
        </w:rPr>
        <w:t>7</w:t>
      </w:r>
      <w:r w:rsidR="00A828B8" w:rsidRPr="00405BF3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405BF3">
        <w:rPr>
          <w:spacing w:val="-4"/>
          <w:sz w:val="30"/>
          <w:szCs w:val="30"/>
        </w:rPr>
        <w:t xml:space="preserve"> Из них при падении с высоты пострадало 22 человека (4 погибло </w:t>
      </w:r>
      <w:r w:rsidR="00462715" w:rsidRPr="00405BF3">
        <w:rPr>
          <w:spacing w:val="-4"/>
          <w:sz w:val="30"/>
          <w:szCs w:val="30"/>
        </w:rPr>
        <w:br/>
      </w:r>
      <w:r w:rsidR="00FB47CB" w:rsidRPr="00405BF3">
        <w:rPr>
          <w:spacing w:val="-4"/>
          <w:sz w:val="30"/>
          <w:szCs w:val="30"/>
        </w:rPr>
        <w:t>и 18 тяжело травмировано), при падении при передвижении 12 человек получили тяжелые травмы,</w:t>
      </w:r>
      <w:r w:rsidR="0006240D" w:rsidRPr="00405BF3">
        <w:rPr>
          <w:spacing w:val="-4"/>
          <w:sz w:val="30"/>
          <w:szCs w:val="30"/>
        </w:rPr>
        <w:t xml:space="preserve"> один человек погиб </w:t>
      </w:r>
      <w:r w:rsidR="007A4CC1">
        <w:rPr>
          <w:spacing w:val="-4"/>
          <w:sz w:val="30"/>
          <w:szCs w:val="30"/>
        </w:rPr>
        <w:t xml:space="preserve">и один получил тяжелую травму </w:t>
      </w:r>
      <w:r w:rsidR="0006240D" w:rsidRPr="00405BF3">
        <w:rPr>
          <w:spacing w:val="-4"/>
          <w:sz w:val="30"/>
          <w:szCs w:val="30"/>
        </w:rPr>
        <w:t>в результате падения</w:t>
      </w:r>
      <w:r w:rsidR="007A4CC1">
        <w:rPr>
          <w:spacing w:val="-4"/>
          <w:sz w:val="30"/>
          <w:szCs w:val="30"/>
        </w:rPr>
        <w:t xml:space="preserve"> </w:t>
      </w:r>
      <w:r w:rsidR="0006240D" w:rsidRPr="00405BF3">
        <w:rPr>
          <w:spacing w:val="-4"/>
          <w:sz w:val="30"/>
          <w:szCs w:val="30"/>
        </w:rPr>
        <w:t>в неограждённый проем подвального помещения</w:t>
      </w:r>
      <w:r w:rsidR="007A4CC1">
        <w:rPr>
          <w:spacing w:val="-4"/>
          <w:sz w:val="30"/>
          <w:szCs w:val="30"/>
        </w:rPr>
        <w:t xml:space="preserve"> и </w:t>
      </w:r>
      <w:r w:rsidR="007A4CC1" w:rsidRPr="007A4CC1">
        <w:rPr>
          <w:spacing w:val="-4"/>
          <w:sz w:val="30"/>
          <w:szCs w:val="30"/>
        </w:rPr>
        <w:t>в осмотровую канаву</w:t>
      </w:r>
      <w:r w:rsidR="007A4CC1">
        <w:rPr>
          <w:spacing w:val="-4"/>
          <w:sz w:val="30"/>
          <w:szCs w:val="30"/>
        </w:rPr>
        <w:t xml:space="preserve"> соответственно.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К основным травмирующим факторам, приведшим к несчастным случаям на производстве с тяжелыми последствиями, также следует отнести</w:t>
      </w:r>
      <w:r w:rsidR="007A4CC1">
        <w:rPr>
          <w:spacing w:val="-4"/>
          <w:sz w:val="30"/>
          <w:szCs w:val="30"/>
        </w:rPr>
        <w:t>: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и тому подобное</w:t>
      </w:r>
      <w:r w:rsidR="00AF44E2" w:rsidRPr="00405BF3">
        <w:rPr>
          <w:spacing w:val="-4"/>
          <w:sz w:val="30"/>
          <w:szCs w:val="30"/>
        </w:rPr>
        <w:t xml:space="preserve">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3 человека погибло</w:t>
      </w:r>
      <w:r w:rsidR="00AF44E2" w:rsidRPr="00405BF3">
        <w:rPr>
          <w:spacing w:val="-4"/>
          <w:sz w:val="30"/>
          <w:szCs w:val="30"/>
        </w:rPr>
        <w:t xml:space="preserve">, </w:t>
      </w:r>
      <w:r w:rsidR="006F3A93">
        <w:rPr>
          <w:spacing w:val="-4"/>
          <w:sz w:val="30"/>
          <w:szCs w:val="30"/>
        </w:rPr>
        <w:br/>
      </w:r>
      <w:r w:rsidRPr="00405BF3">
        <w:rPr>
          <w:spacing w:val="-4"/>
          <w:sz w:val="30"/>
          <w:szCs w:val="30"/>
        </w:rPr>
        <w:t>13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7A4CC1" w:rsidRDefault="00AF44E2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и тому подобное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1 человек погиб, 14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532A88" w:rsidRDefault="007A4CC1" w:rsidP="000735C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</w:t>
      </w:r>
      <w:r w:rsidR="00AF44E2" w:rsidRPr="00405BF3">
        <w:rPr>
          <w:spacing w:val="-4"/>
          <w:sz w:val="30"/>
          <w:szCs w:val="30"/>
        </w:rPr>
        <w:t>орожно-транспортные происшествия</w:t>
      </w:r>
      <w:r>
        <w:rPr>
          <w:spacing w:val="-4"/>
          <w:sz w:val="30"/>
          <w:szCs w:val="30"/>
        </w:rPr>
        <w:t xml:space="preserve"> –</w:t>
      </w:r>
      <w:r w:rsidR="00AF44E2" w:rsidRPr="00405BF3">
        <w:rPr>
          <w:spacing w:val="-4"/>
          <w:sz w:val="30"/>
          <w:szCs w:val="30"/>
        </w:rPr>
        <w:t xml:space="preserve"> </w:t>
      </w:r>
      <w:r w:rsidR="00064761">
        <w:rPr>
          <w:spacing w:val="-4"/>
          <w:sz w:val="30"/>
          <w:szCs w:val="30"/>
        </w:rPr>
        <w:t>5</w:t>
      </w:r>
      <w:r>
        <w:rPr>
          <w:spacing w:val="-4"/>
          <w:sz w:val="30"/>
          <w:szCs w:val="30"/>
        </w:rPr>
        <w:t xml:space="preserve"> </w:t>
      </w:r>
      <w:r w:rsidR="00AF44E2" w:rsidRPr="00405BF3">
        <w:rPr>
          <w:spacing w:val="-4"/>
          <w:sz w:val="30"/>
          <w:szCs w:val="30"/>
        </w:rPr>
        <w:t>человек погибло,</w:t>
      </w:r>
      <w:r>
        <w:rPr>
          <w:spacing w:val="-4"/>
          <w:sz w:val="30"/>
          <w:szCs w:val="30"/>
        </w:rPr>
        <w:br/>
      </w:r>
      <w:r w:rsidR="00AF44E2" w:rsidRPr="00405BF3">
        <w:rPr>
          <w:spacing w:val="-4"/>
          <w:sz w:val="30"/>
          <w:szCs w:val="30"/>
        </w:rPr>
        <w:t>4 получили тяжелые травмы.</w:t>
      </w:r>
    </w:p>
    <w:p w:rsidR="00532A88" w:rsidRPr="00405BF3" w:rsidRDefault="00532A88" w:rsidP="000735CC">
      <w:pPr>
        <w:ind w:firstLine="709"/>
        <w:rPr>
          <w:spacing w:val="-4"/>
          <w:sz w:val="30"/>
          <w:szCs w:val="30"/>
        </w:rPr>
      </w:pPr>
    </w:p>
    <w:p w:rsidR="00AF44E2" w:rsidRPr="00405BF3" w:rsidRDefault="00AF44E2" w:rsidP="00284440">
      <w:pPr>
        <w:jc w:val="center"/>
        <w:rPr>
          <w:spacing w:val="-4"/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31FE69F5" wp14:editId="0833A12B">
            <wp:extent cx="6159260" cy="4891177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2384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 w:rsidRPr="00405BF3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1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71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Справочно. В январе – июне 202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находились 2 из 12 человек, погибших в результате несчастных случаев на производстве, а также 4 из 54 человек, получивших тяжелые производственные травмы.</w:t>
      </w:r>
    </w:p>
    <w:p w:rsidR="00272384" w:rsidRPr="00405BF3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F20260" w:rsidRPr="00405BF3">
        <w:rPr>
          <w:rFonts w:eastAsia="Times New Roman"/>
          <w:spacing w:val="-4"/>
          <w:sz w:val="30"/>
          <w:szCs w:val="30"/>
          <w:lang w:eastAsia="ru-RU"/>
        </w:rPr>
        <w:t>6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F20260" w:rsidRPr="00405BF3" w:rsidRDefault="00F20260" w:rsidP="00F20260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человека – работники организаций республиканской формы собственности, из них </w:t>
      </w:r>
      <w:r w:rsidRPr="00405BF3">
        <w:rPr>
          <w:rFonts w:eastAsia="Times New Roman"/>
          <w:sz w:val="30"/>
          <w:szCs w:val="30"/>
          <w:lang w:eastAsia="ru-RU"/>
        </w:rPr>
        <w:t>1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человек погиб (</w:t>
      </w:r>
      <w:r w:rsidRPr="00405BF3">
        <w:rPr>
          <w:rFonts w:eastAsia="Times New Roman"/>
          <w:sz w:val="30"/>
          <w:szCs w:val="30"/>
          <w:lang w:eastAsia="ru-RU"/>
        </w:rPr>
        <w:t xml:space="preserve">электромонтер по эксплуатации распределительных сетей Минского республиканского унитарного предприятия электроэнергетики «Минскэнерго» </w:t>
      </w:r>
      <w:r w:rsidR="0001205B" w:rsidRPr="00405BF3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405BF3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в крови </w:t>
      </w:r>
      <w:r w:rsidRPr="00405BF3">
        <w:rPr>
          <w:rFonts w:eastAsia="Times New Roman"/>
          <w:sz w:val="30"/>
          <w:szCs w:val="30"/>
          <w:lang w:eastAsia="ru-RU"/>
        </w:rPr>
        <w:t>0,2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 промилле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) и 1 человек получил тяжелую производственную травму </w:t>
      </w:r>
      <w:r w:rsidR="008E5467" w:rsidRPr="00405BF3">
        <w:rPr>
          <w:rFonts w:eastAsia="Times New Roman"/>
          <w:sz w:val="30"/>
          <w:szCs w:val="30"/>
          <w:lang w:eastAsia="ru-RU"/>
        </w:rPr>
        <w:t>(</w:t>
      </w:r>
      <w:r w:rsidRPr="00405BF3">
        <w:rPr>
          <w:rFonts w:eastAsia="Times New Roman"/>
          <w:sz w:val="30"/>
          <w:szCs w:val="30"/>
          <w:lang w:eastAsia="ru-RU"/>
        </w:rPr>
        <w:t xml:space="preserve">дорожный рабочий филиала «Дорожно – эксплуатационное управление № 6» республиканского унитарного предприятия автомобильных дорог «Минскавтодор – Центр» 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–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="00272384" w:rsidRPr="00405BF3">
        <w:rPr>
          <w:rFonts w:eastAsia="Times New Roman"/>
          <w:sz w:val="30"/>
          <w:szCs w:val="30"/>
          <w:lang w:eastAsia="ru-RU"/>
        </w:rPr>
        <w:t>2,3</w:t>
      </w:r>
      <w:r w:rsidRPr="00405BF3">
        <w:rPr>
          <w:rFonts w:eastAsia="Times New Roman"/>
          <w:sz w:val="30"/>
          <w:szCs w:val="30"/>
          <w:lang w:eastAsia="ru-RU"/>
        </w:rPr>
        <w:t>8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405BF3">
        <w:rPr>
          <w:rFonts w:eastAsia="Times New Roman"/>
          <w:sz w:val="30"/>
          <w:szCs w:val="30"/>
          <w:lang w:eastAsia="ru-RU"/>
        </w:rPr>
        <w:t>;</w:t>
      </w:r>
    </w:p>
    <w:p w:rsidR="00F20260" w:rsidRPr="00405BF3" w:rsidRDefault="00F20260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 (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п</w:t>
      </w:r>
      <w:r w:rsidRPr="00405BF3">
        <w:rPr>
          <w:rFonts w:eastAsia="Times New Roman"/>
          <w:sz w:val="30"/>
          <w:szCs w:val="30"/>
          <w:lang w:eastAsia="ru-RU"/>
        </w:rPr>
        <w:t>олевод ОАО «Витко-Агро» – 0,83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 xml:space="preserve"> промилле,</w:t>
      </w:r>
      <w:r w:rsidRPr="00405BF3">
        <w:rPr>
          <w:rFonts w:eastAsia="Times New Roman"/>
          <w:sz w:val="30"/>
          <w:szCs w:val="30"/>
          <w:lang w:eastAsia="ru-RU"/>
        </w:rPr>
        <w:t xml:space="preserve"> тракторист-машинист сельскохозяйственного производства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ОАО «Рубежевичи» – 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462715" w:rsidRPr="00405BF3" w:rsidRDefault="00F20260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 (з</w:t>
      </w:r>
      <w:r w:rsidRPr="00405BF3">
        <w:rPr>
          <w:rFonts w:eastAsia="Times New Roman"/>
          <w:sz w:val="30"/>
          <w:szCs w:val="30"/>
          <w:lang w:eastAsia="ru-RU"/>
        </w:rPr>
        <w:t xml:space="preserve">аместитель директора по коммерческим вопросам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ООО «Вармхаусгрупп» – 1,2 промилле, подсобный рабочий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ООО «Сивора» – 0,72 </w:t>
      </w:r>
      <w:r w:rsidR="00462715" w:rsidRPr="00405BF3">
        <w:rPr>
          <w:rFonts w:eastAsia="Times New Roman"/>
          <w:sz w:val="30"/>
          <w:szCs w:val="30"/>
          <w:lang w:eastAsia="ru-RU"/>
        </w:rPr>
        <w:t>промилле).</w:t>
      </w:r>
    </w:p>
    <w:p w:rsidR="004A38D3" w:rsidRPr="00405BF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405BF3">
        <w:rPr>
          <w:sz w:val="30"/>
          <w:szCs w:val="30"/>
        </w:rPr>
        <w:t xml:space="preserve">Основные причины несчастных случаев, расследование которых завершено по состоянию на </w:t>
      </w:r>
      <w:r w:rsidR="005843AC" w:rsidRPr="00405BF3">
        <w:rPr>
          <w:sz w:val="30"/>
          <w:szCs w:val="30"/>
        </w:rPr>
        <w:t>16</w:t>
      </w:r>
      <w:r w:rsidRPr="00405BF3">
        <w:rPr>
          <w:sz w:val="30"/>
          <w:szCs w:val="30"/>
        </w:rPr>
        <w:t>.07.202</w:t>
      </w:r>
      <w:r w:rsidR="005843AC" w:rsidRPr="00405BF3">
        <w:rPr>
          <w:sz w:val="30"/>
          <w:szCs w:val="30"/>
        </w:rPr>
        <w:t>5</w:t>
      </w:r>
      <w:r w:rsidRPr="00405BF3">
        <w:rPr>
          <w:sz w:val="30"/>
          <w:szCs w:val="30"/>
        </w:rPr>
        <w:t xml:space="preserve"> (</w:t>
      </w:r>
      <w:r w:rsidR="005843AC" w:rsidRPr="00405BF3">
        <w:rPr>
          <w:sz w:val="30"/>
          <w:szCs w:val="30"/>
        </w:rPr>
        <w:t>3</w:t>
      </w:r>
      <w:r w:rsidRPr="00405BF3">
        <w:rPr>
          <w:sz w:val="30"/>
          <w:szCs w:val="30"/>
        </w:rPr>
        <w:t xml:space="preserve"> случа</w:t>
      </w:r>
      <w:r w:rsidR="00CC1E1A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со смертельным исходом и </w:t>
      </w:r>
      <w:r w:rsidR="005843AC" w:rsidRPr="00405BF3">
        <w:rPr>
          <w:sz w:val="30"/>
          <w:szCs w:val="30"/>
        </w:rPr>
        <w:t>34</w:t>
      </w:r>
      <w:r w:rsidRPr="00405BF3">
        <w:rPr>
          <w:sz w:val="30"/>
          <w:szCs w:val="30"/>
        </w:rPr>
        <w:t xml:space="preserve"> случая, в результате которых потерпевшие получили тяжелые производственные травмы):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05BF3">
        <w:rPr>
          <w:spacing w:val="-6"/>
          <w:sz w:val="30"/>
          <w:szCs w:val="30"/>
        </w:rPr>
        <w:t>личная неосторожность потерпевших – 12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содержание и недостатки в организации рабочих мест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8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5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э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ксплуатация неисправных машин, механизмов, оборудования, оснастки, инструмента, транспортных средств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требований по охране труда потерпевшим, являющимся должностным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2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lastRenderedPageBreak/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потерпевшим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другим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прочие причины – 4 случая.</w:t>
      </w:r>
    </w:p>
    <w:p w:rsidR="005F1171" w:rsidRPr="00405BF3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405BF3" w:rsidRPr="00405BF3" w:rsidRDefault="004A4806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405BF3">
        <w:rPr>
          <w:rFonts w:eastAsia="Times New Roman"/>
          <w:sz w:val="30"/>
          <w:szCs w:val="30"/>
          <w:lang w:eastAsia="ru-RU"/>
        </w:rPr>
        <w:br/>
        <w:t>10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(27%)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CC1E1A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7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(18,9%)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</w:t>
      </w:r>
      <w:r w:rsidR="00CC1E1A">
        <w:rPr>
          <w:rFonts w:eastAsia="Times New Roman"/>
          <w:sz w:val="30"/>
          <w:szCs w:val="30"/>
          <w:lang w:eastAsia="ru-RU"/>
        </w:rPr>
        <w:t xml:space="preserve"> (8,9%)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 xml:space="preserve">по вине сторонних лиц </w:t>
      </w:r>
      <w:r w:rsidR="004A4806" w:rsidRPr="00405BF3">
        <w:rPr>
          <w:rFonts w:eastAsia="Times New Roman"/>
          <w:sz w:val="30"/>
          <w:szCs w:val="30"/>
          <w:lang w:eastAsia="ru-RU"/>
        </w:rPr>
        <w:t xml:space="preserve">отмечено </w:t>
      </w:r>
      <w:r w:rsidRPr="00405BF3">
        <w:rPr>
          <w:rFonts w:eastAsia="Times New Roman"/>
          <w:sz w:val="30"/>
          <w:szCs w:val="30"/>
          <w:lang w:eastAsia="ru-RU"/>
        </w:rPr>
        <w:t>произошел 1 случай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="004A4806"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одном случае вина не установлена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15 случаях виновных лиц не усматривается</w:t>
      </w:r>
      <w:r w:rsidR="00CC1E1A">
        <w:rPr>
          <w:rFonts w:eastAsia="Times New Roman"/>
          <w:sz w:val="30"/>
          <w:szCs w:val="30"/>
          <w:lang w:eastAsia="ru-RU"/>
        </w:rPr>
        <w:t xml:space="preserve"> (40,5%)</w:t>
      </w:r>
      <w:r w:rsidRPr="00405BF3">
        <w:rPr>
          <w:rFonts w:eastAsia="Times New Roman"/>
          <w:sz w:val="30"/>
          <w:szCs w:val="30"/>
          <w:lang w:eastAsia="ru-RU"/>
        </w:rPr>
        <w:t>.</w:t>
      </w:r>
    </w:p>
    <w:p w:rsidR="00B91997" w:rsidRDefault="00B91997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CC1E1A" w:rsidRDefault="00CC1E1A" w:rsidP="00080485">
      <w:pPr>
        <w:spacing w:line="360" w:lineRule="auto"/>
        <w:ind w:right="4253"/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720ACD35" wp14:editId="236F6E94">
            <wp:extent cx="6116128" cy="3847381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999" w:rsidRDefault="00414999" w:rsidP="00414999">
      <w:pPr>
        <w:spacing w:line="360" w:lineRule="auto"/>
        <w:ind w:right="4253"/>
        <w:rPr>
          <w:sz w:val="30"/>
          <w:szCs w:val="30"/>
        </w:rPr>
      </w:pPr>
    </w:p>
    <w:p w:rsidR="00414999" w:rsidRDefault="00414999" w:rsidP="00414999">
      <w:pPr>
        <w:spacing w:line="280" w:lineRule="exact"/>
        <w:ind w:right="4253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414999" w:rsidRDefault="00414999" w:rsidP="00414999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17.07.2025</w:t>
      </w:r>
    </w:p>
    <w:sectPr w:rsidR="00414999" w:rsidSect="0041262A">
      <w:headerReference w:type="default" r:id="rId21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D2" w:rsidRDefault="00DE0BD2" w:rsidP="004C441E">
      <w:r>
        <w:separator/>
      </w:r>
    </w:p>
  </w:endnote>
  <w:endnote w:type="continuationSeparator" w:id="0">
    <w:p w:rsidR="00DE0BD2" w:rsidRDefault="00DE0BD2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D2" w:rsidRDefault="00DE0BD2" w:rsidP="004C441E">
      <w:r>
        <w:separator/>
      </w:r>
    </w:p>
  </w:footnote>
  <w:footnote w:type="continuationSeparator" w:id="0">
    <w:p w:rsidR="00DE0BD2" w:rsidRDefault="00DE0BD2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066094">
          <w:rPr>
            <w:noProof/>
            <w:sz w:val="28"/>
            <w:szCs w:val="28"/>
          </w:rPr>
          <w:t>10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094"/>
    <w:rsid w:val="00066431"/>
    <w:rsid w:val="00066D36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21CB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AB4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B21"/>
    <w:rsid w:val="001E6A37"/>
    <w:rsid w:val="001E6AE3"/>
    <w:rsid w:val="001F06B7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B8"/>
    <w:rsid w:val="00210130"/>
    <w:rsid w:val="00210279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22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440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85425"/>
    <w:rsid w:val="0049068E"/>
    <w:rsid w:val="00491BF2"/>
    <w:rsid w:val="0049278F"/>
    <w:rsid w:val="0049344E"/>
    <w:rsid w:val="00494928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A88"/>
    <w:rsid w:val="00533409"/>
    <w:rsid w:val="00533FCB"/>
    <w:rsid w:val="005340F1"/>
    <w:rsid w:val="00534B05"/>
    <w:rsid w:val="00535255"/>
    <w:rsid w:val="00535A85"/>
    <w:rsid w:val="005366BC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21D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4CC1"/>
    <w:rsid w:val="007A4F53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A48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40358"/>
    <w:rsid w:val="0094104F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28AF"/>
    <w:rsid w:val="009D2FC6"/>
    <w:rsid w:val="009D403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1EF5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15B0"/>
    <w:rsid w:val="00A92368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FF"/>
    <w:rsid w:val="00AC3598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F14B7"/>
    <w:rsid w:val="00AF25F9"/>
    <w:rsid w:val="00AF2FC8"/>
    <w:rsid w:val="00AF30DA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5EE"/>
    <w:rsid w:val="00B309ED"/>
    <w:rsid w:val="00B30C15"/>
    <w:rsid w:val="00B32D00"/>
    <w:rsid w:val="00B333A1"/>
    <w:rsid w:val="00B33C76"/>
    <w:rsid w:val="00B34845"/>
    <w:rsid w:val="00B3693E"/>
    <w:rsid w:val="00B374DA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096F"/>
    <w:rsid w:val="00BF1451"/>
    <w:rsid w:val="00BF4FD5"/>
    <w:rsid w:val="00C0045B"/>
    <w:rsid w:val="00C01C71"/>
    <w:rsid w:val="00C022B3"/>
    <w:rsid w:val="00C02CB6"/>
    <w:rsid w:val="00C0359D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4C9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FE5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08E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5E3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1830840394393032"/>
          <c:w val="0.98736508751546204"/>
          <c:h val="0.46024071489161217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1897358451165173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3005225237917203E-3"/>
                  <c:y val="-4.2154128927209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727433688756487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557573754373589E-2"/>
                  <c:y val="-3.769045811411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98447830293967E-2"/>
                  <c:y val="-3.39740723050241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*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16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72</c:v>
                </c:pt>
                <c:pt idx="1">
                  <c:v>55</c:v>
                </c:pt>
                <c:pt idx="2">
                  <c:v>61</c:v>
                </c:pt>
                <c:pt idx="3">
                  <c:v>54</c:v>
                </c:pt>
                <c:pt idx="4">
                  <c:v>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148</c:v>
                </c:pt>
                <c:pt idx="1">
                  <c:v>137</c:v>
                </c:pt>
                <c:pt idx="2">
                  <c:v>167</c:v>
                </c:pt>
                <c:pt idx="3">
                  <c:v>162</c:v>
                </c:pt>
                <c:pt idx="4">
                  <c:v>162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75712"/>
        <c:axId val="187877248"/>
      </c:lineChart>
      <c:catAx>
        <c:axId val="18787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8772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8787724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87875712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69750017306096812"/>
          <c:w val="0.99833859690568594"/>
          <c:h val="0.30136620010807269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2024 г.</a:t>
            </a:r>
            <a:endParaRPr lang="ru-RU" sz="1200" b="0"/>
          </a:p>
        </c:rich>
      </c:tx>
      <c:layout>
        <c:manualLayout>
          <c:xMode val="edge"/>
          <c:yMode val="edge"/>
          <c:x val="9.3588929387805289E-2"/>
          <c:y val="0.15550377151682843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82292587728495E-4"/>
          <c:y val="0.24083114740152819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7.1210085858242345E-2"/>
                  <c:y val="-0.1586873511322672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94314311276675E-2"/>
                  <c:y val="4.3594328998561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6625273375573565"/>
                  <c:y val="4.72258747406526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73441497627261E-2"/>
                  <c:y val="6.78389253028033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019524771227808E-2"/>
                  <c:y val="5.7177044455254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0109853816009081E-2"/>
                  <c:y val="-1.5325201932090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0987232445102522E-2"/>
                  <c:y val="7.993224270633458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0.24199999999999999</c:v>
                </c:pt>
                <c:pt idx="2">
                  <c:v>0.16700000000000001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4204983108797"/>
          <c:w val="1"/>
          <c:h val="0.31304060950714496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562655689353216"/>
          <c:w val="1"/>
          <c:h val="0.22889696309701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15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7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горнодобывающаяя промышленность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образование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chemeClr val="bg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0738816"/>
        <c:axId val="190740352"/>
      </c:barChart>
      <c:catAx>
        <c:axId val="190738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0740352"/>
        <c:crosses val="autoZero"/>
        <c:auto val="1"/>
        <c:lblAlgn val="ctr"/>
        <c:lblOffset val="1"/>
        <c:noMultiLvlLbl val="0"/>
      </c:catAx>
      <c:valAx>
        <c:axId val="1907403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07388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47395013123359581"/>
          <c:w val="1"/>
          <c:h val="0.52594907986108341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83242142724939"/>
          <c:y val="2.9349979655555261E-2"/>
          <c:w val="0.43373879329659731"/>
          <c:h val="0.4754596211600914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8888730139659631E-2"/>
                  <c:y val="-8.4062384166428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114744303698822"/>
                  <c:y val="-5.5590709557229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40,9%</a:t>
                    </a:r>
                    <a:r>
                      <a:rPr lang="ru-RU"/>
                      <a:t> (36)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908943606861863E-2"/>
                  <c:y val="6.33311777512856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540652610865592"/>
                  <c:y val="3.4433020927273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17,0%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247682351451305E-2"/>
                  <c:y val="-0.17810866382467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33450122254946E-2"/>
                  <c:y val="-0.130061537335492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7236129015498612E-2"/>
                  <c:y val="-0.112449007672386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1828531349545238"/>
                  <c:y val="-9.7971919642245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3352983962359113"/>
                  <c:y val="-5.714350554069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326516497111667"/>
                  <c:y val="-1.13639314218234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деятельности'!$D$5:$D$14</c:f>
              <c:numCache>
                <c:formatCode>0.0%</c:formatCode>
                <c:ptCount val="10"/>
                <c:pt idx="0">
                  <c:v>0.10199999999999999</c:v>
                </c:pt>
                <c:pt idx="1">
                  <c:v>0.40899999999999997</c:v>
                </c:pt>
                <c:pt idx="2">
                  <c:v>0.182</c:v>
                </c:pt>
                <c:pt idx="3">
                  <c:v>0.17</c:v>
                </c:pt>
                <c:pt idx="4">
                  <c:v>1.0999999999999999E-2</c:v>
                </c:pt>
                <c:pt idx="5">
                  <c:v>1.0999999999999999E-2</c:v>
                </c:pt>
                <c:pt idx="6">
                  <c:v>6.8000000000000005E-2</c:v>
                </c:pt>
                <c:pt idx="7">
                  <c:v>1.0999999999999999E-2</c:v>
                </c:pt>
                <c:pt idx="8">
                  <c:v>2.3E-2</c:v>
                </c:pt>
                <c:pt idx="9">
                  <c:v>1.0999999999999999E-2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деятельности'!$E$5:$E$14</c:f>
              <c:numCache>
                <c:formatCode>0</c:formatCode>
                <c:ptCount val="10"/>
                <c:pt idx="0">
                  <c:v>9</c:v>
                </c:pt>
                <c:pt idx="1">
                  <c:v>36</c:v>
                </c:pt>
                <c:pt idx="2" formatCode="General">
                  <c:v>16</c:v>
                </c:pt>
                <c:pt idx="3" formatCode="General">
                  <c:v>15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6</c:v>
                </c:pt>
                <c:pt idx="7" formatCode="General">
                  <c:v>1</c:v>
                </c:pt>
                <c:pt idx="8" formatCode="General">
                  <c:v>2</c:v>
                </c:pt>
                <c:pt idx="9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46638917381235639"/>
          <c:w val="1"/>
          <c:h val="0.53361086291115711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84102621789474"/>
          <c:y val="0.15699056105936576"/>
          <c:w val="0.44794304501148441"/>
          <c:h val="0.4888293510547559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394991733331937"/>
                  <c:y val="-0.178159447457024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27,0%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296528784224266"/>
                  <c:y val="2.4659372180712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18,9%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1338179972688602E-2"/>
                  <c:y val="2.4492245504149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361612803798757"/>
                  <c:y val="-9.04381009818473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337224466198215"/>
                  <c:y val="5.57379162604379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40,5%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3815073850645372E-2"/>
                  <c:y val="-1.1236994724463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деятельности'!$D$5:$D$10</c:f>
              <c:numCache>
                <c:formatCode>0.0%</c:formatCode>
                <c:ptCount val="6"/>
                <c:pt idx="0">
                  <c:v>0.27</c:v>
                </c:pt>
                <c:pt idx="1">
                  <c:v>0.189</c:v>
                </c:pt>
                <c:pt idx="2">
                  <c:v>8.1000000000000003E-2</c:v>
                </c:pt>
                <c:pt idx="3">
                  <c:v>2.7E-2</c:v>
                </c:pt>
                <c:pt idx="4">
                  <c:v>0.40500000000000003</c:v>
                </c:pt>
                <c:pt idx="5">
                  <c:v>2.7E-2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деятельности'!$E$5:$E$10</c:f>
              <c:numCache>
                <c:formatCode>0</c:formatCode>
                <c:ptCount val="6"/>
                <c:pt idx="0">
                  <c:v>10</c:v>
                </c:pt>
                <c:pt idx="1">
                  <c:v>7</c:v>
                </c:pt>
                <c:pt idx="2" formatCode="General">
                  <c:v>3</c:v>
                </c:pt>
                <c:pt idx="3" formatCode="General">
                  <c:v>1</c:v>
                </c:pt>
                <c:pt idx="4" formatCode="General">
                  <c:v>15</c:v>
                </c:pt>
                <c:pt idx="5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5180473272798645"/>
          <c:w val="1"/>
          <c:h val="0.34804507273909185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773643854686702"/>
          <c:w val="0.95197345648611076"/>
          <c:h val="0.549525288289185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88575104"/>
        <c:axId val="188597376"/>
        <c:axId val="0"/>
      </c:bar3DChart>
      <c:catAx>
        <c:axId val="1885751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597376"/>
        <c:crosses val="autoZero"/>
        <c:auto val="1"/>
        <c:lblAlgn val="ctr"/>
        <c:lblOffset val="100"/>
        <c:tickMarkSkip val="1"/>
        <c:noMultiLvlLbl val="0"/>
      </c:catAx>
      <c:valAx>
        <c:axId val="1885973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88575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180014790968813"/>
          <c:w val="1"/>
          <c:h val="0.17162909862806333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2025 г.</a:t>
            </a:r>
          </a:p>
        </c:rich>
      </c:tx>
      <c:layout>
        <c:manualLayout>
          <c:xMode val="edge"/>
          <c:yMode val="edge"/>
          <c:x val="0.36615322635497494"/>
          <c:y val="0.13837256192032599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53087051153938"/>
          <c:y val="0.23770958465097522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080166405935252"/>
                  <c:y val="-5.66428383465826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0.38300000000000001</c:v>
                </c:pt>
                <c:pt idx="2">
                  <c:v>0.40699999999999997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3714448514275766"/>
          <c:w val="0.99923057521737579"/>
          <c:h val="0.26112019016490867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8.3634213231321072E-2"/>
          <c:w val="0.98359549068963004"/>
          <c:h val="0.2696369145069748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Травматизм!$D$6:$D$8</c:f>
              <c:numCache>
                <c:formatCode>General</c:formatCode>
                <c:ptCount val="3"/>
                <c:pt idx="0">
                  <c:v>29</c:v>
                </c:pt>
                <c:pt idx="1">
                  <c:v>55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88294293383003E-2"/>
                  <c:y val="-7.8171083880035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anchor="t" anchorCtr="1"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Травматизм!$E$6:$E$8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472265422498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Травматизм!$F$6:$F$8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6.220186706832719E-3"/>
                  <c:y val="-5.2042322834645665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4.7742504030074975E-17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Травматизм!$G$6:$G$8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Травматизм!$H$6:$H$8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64771437092225E-2"/>
                  <c:y val="-5.2114055920023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Травматизм!$I$6:$I$8</c:f>
              <c:numCache>
                <c:formatCode>General</c:formatCode>
                <c:ptCount val="3"/>
                <c:pt idx="0">
                  <c:v>17</c:v>
                </c:pt>
                <c:pt idx="1">
                  <c:v>33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90071552"/>
        <c:axId val="190073088"/>
        <c:axId val="0"/>
      </c:bar3DChart>
      <c:catAx>
        <c:axId val="1900715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073088"/>
        <c:crosses val="autoZero"/>
        <c:auto val="1"/>
        <c:lblAlgn val="ctr"/>
        <c:lblOffset val="100"/>
        <c:tickMarkSkip val="1"/>
        <c:noMultiLvlLbl val="0"/>
      </c:catAx>
      <c:valAx>
        <c:axId val="1900730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07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6582851994055827"/>
          <c:w val="1"/>
          <c:h val="0.43136322497266671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33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0124416"/>
        <c:axId val="190125952"/>
        <c:axId val="0"/>
      </c:bar3DChart>
      <c:catAx>
        <c:axId val="1901244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125952"/>
        <c:crosses val="autoZero"/>
        <c:auto val="1"/>
        <c:lblAlgn val="ctr"/>
        <c:lblOffset val="100"/>
        <c:tickMarkSkip val="1"/>
        <c:noMultiLvlLbl val="0"/>
      </c:catAx>
      <c:valAx>
        <c:axId val="190125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124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8784452427388504"/>
          <c:w val="0.99313192226218328"/>
          <c:h val="0.35742268548313916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 потерпевших в результате несчастных случаев на производстве в регионах  на 10 тыс. застрахованных,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весу'!$F$8:$F$18</c:f>
              <c:numCache>
                <c:formatCode>0.0</c:formatCode>
                <c:ptCount val="11"/>
                <c:pt idx="0">
                  <c:v>3.5429583702391496</c:v>
                </c:pt>
                <c:pt idx="1">
                  <c:v>3.1056972290279168</c:v>
                </c:pt>
                <c:pt idx="2">
                  <c:v>3.4920265394016994</c:v>
                </c:pt>
                <c:pt idx="3">
                  <c:v>3.1659441819687304</c:v>
                </c:pt>
                <c:pt idx="4">
                  <c:v>3.3507251926666988</c:v>
                </c:pt>
                <c:pt idx="5">
                  <c:v>5.4990376684080289</c:v>
                </c:pt>
                <c:pt idx="6">
                  <c:v>4.0918052300710483</c:v>
                </c:pt>
                <c:pt idx="7">
                  <c:v>6.6365808335545529</c:v>
                </c:pt>
                <c:pt idx="8">
                  <c:v>4.5341192473362053</c:v>
                </c:pt>
                <c:pt idx="9">
                  <c:v>3.4714186530895628</c:v>
                </c:pt>
                <c:pt idx="10">
                  <c:v>4.9329566348266738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90416768"/>
        <c:axId val="190418304"/>
      </c:barChart>
      <c:lineChart>
        <c:grouping val="standard"/>
        <c:varyColors val="0"/>
        <c:ser>
          <c:idx val="0"/>
          <c:order val="1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47056896127746184"/>
                  <c:y val="6.01511655960300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весу'!$G$8:$G$18</c:f>
              <c:numCache>
                <c:formatCode>0.0</c:formatCode>
                <c:ptCount val="11"/>
                <c:pt idx="0">
                  <c:v>2.71</c:v>
                </c:pt>
                <c:pt idx="1">
                  <c:v>2.71</c:v>
                </c:pt>
                <c:pt idx="2">
                  <c:v>2.71</c:v>
                </c:pt>
                <c:pt idx="3">
                  <c:v>2.71</c:v>
                </c:pt>
                <c:pt idx="4">
                  <c:v>2.71</c:v>
                </c:pt>
                <c:pt idx="5">
                  <c:v>2.71</c:v>
                </c:pt>
                <c:pt idx="6">
                  <c:v>2.71</c:v>
                </c:pt>
                <c:pt idx="7">
                  <c:v>2.71</c:v>
                </c:pt>
                <c:pt idx="8">
                  <c:v>2.71</c:v>
                </c:pt>
                <c:pt idx="9">
                  <c:v>2.71</c:v>
                </c:pt>
                <c:pt idx="10">
                  <c:v>2.71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428288"/>
        <c:axId val="190429824"/>
      </c:lineChart>
      <c:catAx>
        <c:axId val="190416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04183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041830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90416768"/>
        <c:crosses val="autoZero"/>
        <c:crossBetween val="between"/>
      </c:valAx>
      <c:catAx>
        <c:axId val="190428288"/>
        <c:scaling>
          <c:orientation val="minMax"/>
        </c:scaling>
        <c:delete val="1"/>
        <c:axPos val="b"/>
        <c:majorTickMark val="out"/>
        <c:minorTickMark val="none"/>
        <c:tickLblPos val="nextTo"/>
        <c:crossAx val="190429824"/>
        <c:crosses val="autoZero"/>
        <c:auto val="0"/>
        <c:lblAlgn val="ctr"/>
        <c:lblOffset val="100"/>
        <c:noMultiLvlLbl val="0"/>
      </c:catAx>
      <c:valAx>
        <c:axId val="19042982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904282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4.5955545730893797E-2"/>
          <c:y val="0.82309318682283061"/>
          <c:w val="0.92967254815691391"/>
          <c:h val="0.145760629459373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1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88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0900480"/>
        <c:axId val="190918656"/>
        <c:axId val="0"/>
      </c:bar3DChart>
      <c:catAx>
        <c:axId val="19090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918656"/>
        <c:crosses val="autoZero"/>
        <c:auto val="1"/>
        <c:lblAlgn val="ctr"/>
        <c:lblOffset val="100"/>
        <c:tickMarkSkip val="1"/>
        <c:noMultiLvlLbl val="0"/>
      </c:catAx>
      <c:valAx>
        <c:axId val="1909186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9004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3575283983259936"/>
          <c:w val="1"/>
          <c:h val="0.45886943404282821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23002788692457E-3"/>
                  <c:y val="3.5647021508907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5951687080453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0786560"/>
        <c:axId val="190808832"/>
        <c:axId val="0"/>
      </c:bar3DChart>
      <c:catAx>
        <c:axId val="19078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808832"/>
        <c:crosses val="autoZero"/>
        <c:auto val="1"/>
        <c:lblAlgn val="ctr"/>
        <c:lblOffset val="100"/>
        <c:tickMarkSkip val="1"/>
        <c:noMultiLvlLbl val="0"/>
      </c:catAx>
      <c:valAx>
        <c:axId val="190808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786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4994490529131101"/>
          <c:w val="1"/>
          <c:h val="0.44356637011525896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2025 г.</a:t>
            </a:r>
            <a:endParaRPr lang="ru-RU" sz="1200" b="0"/>
          </a:p>
        </c:rich>
      </c:tx>
      <c:layout>
        <c:manualLayout>
          <c:xMode val="edge"/>
          <c:yMode val="edge"/>
          <c:x val="0.17128018462712738"/>
          <c:y val="0.160949298813376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71202606873396E-3"/>
          <c:y val="0.25668592339795648"/>
          <c:w val="0.77740066538843378"/>
          <c:h val="0.6886952237766396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5747421186559146"/>
                  <c:y val="-0.2298952192175666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619760024215029"/>
                  <c:y val="0.107194782871594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7731876591691129"/>
                  <c:y val="2.64032624886837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832103901564817"/>
                  <c:y val="-1.55082012320955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120837842449849E-2"/>
                  <c:y val="4.18481944041049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766075315386153E-2"/>
                  <c:y val="1.78563845959171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509557886975797E-2"/>
                  <c:y val="2.60550689338313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0.318</c:v>
                </c:pt>
                <c:pt idx="1">
                  <c:v>0.25</c:v>
                </c:pt>
                <c:pt idx="2">
                  <c:v>0.182</c:v>
                </c:pt>
                <c:pt idx="3">
                  <c:v>5.7000000000000002E-2</c:v>
                </c:pt>
                <c:pt idx="4">
                  <c:v>1.0999999999999999E-2</c:v>
                </c:pt>
                <c:pt idx="5">
                  <c:v>4.4999999999999998E-2</c:v>
                </c:pt>
                <c:pt idx="6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0</cdr:y>
    </cdr:from>
    <cdr:to>
      <cdr:x>0.94526</cdr:x>
      <cdr:y>0.17036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110" y="0"/>
          <a:ext cx="5529802" cy="534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0.16241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709" y="75687"/>
          <a:ext cx="4672200" cy="579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62760"/>
          <a:ext cx="5760425" cy="553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121D-0493-4F5A-B6DB-E2A861AA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Пользователь</cp:lastModifiedBy>
  <cp:revision>2</cp:revision>
  <cp:lastPrinted>2025-07-16T12:22:00Z</cp:lastPrinted>
  <dcterms:created xsi:type="dcterms:W3CDTF">2025-07-28T06:00:00Z</dcterms:created>
  <dcterms:modified xsi:type="dcterms:W3CDTF">2025-07-28T06:00:00Z</dcterms:modified>
</cp:coreProperties>
</file>