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CA" w:rsidRPr="00770A93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b/>
          <w:sz w:val="30"/>
          <w:szCs w:val="30"/>
        </w:rPr>
      </w:pPr>
      <w:r w:rsidRPr="00770A93">
        <w:rPr>
          <w:rFonts w:ascii="TimesNewRomanPSMT" w:hAnsi="TimesNewRomanPSMT" w:cs="TimesNewRomanPSMT"/>
          <w:b/>
          <w:sz w:val="30"/>
          <w:szCs w:val="30"/>
        </w:rPr>
        <w:t>Коммент</w:t>
      </w:r>
      <w:bookmarkStart w:id="0" w:name="_GoBack"/>
      <w:bookmarkEnd w:id="0"/>
      <w:r w:rsidRPr="00770A93">
        <w:rPr>
          <w:rFonts w:ascii="TimesNewRomanPSMT" w:hAnsi="TimesNewRomanPSMT" w:cs="TimesNewRomanPSMT"/>
          <w:b/>
          <w:sz w:val="30"/>
          <w:szCs w:val="30"/>
        </w:rPr>
        <w:t>арий к постановлению Совета Министров Республики Беларусь и Национального банка Республики Беларусь от 25 сентября 2025 г. № 529/24 «Об изменении постановления Совета Министров Республики Беларусь и Национального банка Республики Беларусь от 6 июля 2011 г. № 924/16»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Советом Министров Республики Беларусь и Национальным банком Республики Беларусь 25 сентября 2025 г. принято постановление № 529/24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 № 529/24).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Постановлением № 529/24 предусмотрено следующее.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1.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Право </w:t>
      </w:r>
      <w:r>
        <w:rPr>
          <w:rFonts w:ascii="TimesNewRomanPSMT" w:hAnsi="TimesNewRomanPSMT" w:cs="TimesNewRomanPSMT"/>
          <w:sz w:val="30"/>
          <w:szCs w:val="30"/>
        </w:rPr>
        <w:t xml:space="preserve">субъектов хозяйствования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до 1 марта 2029 г. </w:t>
      </w:r>
      <w:r>
        <w:rPr>
          <w:rFonts w:ascii="TimesNewRomanPSMT" w:hAnsi="TimesNewRomanPSMT" w:cs="TimesNewRomanPSMT"/>
          <w:sz w:val="30"/>
          <w:szCs w:val="30"/>
        </w:rPr>
        <w:t xml:space="preserve">в отношении товаров,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подлежащих маркировке </w:t>
      </w:r>
      <w:r>
        <w:rPr>
          <w:rFonts w:ascii="TimesNewRomanPSMT" w:hAnsi="TimesNewRomanPSMT" w:cs="TimesNewRomanPSMT"/>
          <w:sz w:val="30"/>
          <w:szCs w:val="30"/>
        </w:rPr>
        <w:t xml:space="preserve">средствами идентификации, реализуемых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на территории сельской местности и в торговых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объектах с торговой площадью менее 200 квадратных метров не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обеспечивать</w:t>
      </w:r>
      <w:r>
        <w:rPr>
          <w:rFonts w:ascii="TimesNewRomanPSMT" w:hAnsi="TimesNewRomanPSMT" w:cs="TimesNewRomanPSMT"/>
          <w:sz w:val="30"/>
          <w:szCs w:val="30"/>
        </w:rPr>
        <w:t>: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ведение дифференцированного учета;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считывание кодов маркировки кассовым оборудованием;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передачу в систему контроля кассового оборудования информации о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реализации маркированных товаров.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2. Аналогичное право в части необеспечения ведения дифференцированного учета и передачи в систему контроля кассового оборудования (далее – СККО) информации о реализации маркированных товаров до 1 марта 2029 г. предоставлено для: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национального оператора почтовой связи;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юридических лиц и индивидуальных предпринимателей, имеющих право не использовать кассовое оборудование в соответствии с частью четвертой пункта 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(далее – Положение);</w:t>
      </w:r>
    </w:p>
    <w:p w:rsidR="00B709CA" w:rsidRPr="00533526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Справочно. В соответствии с частью четвертой пункта 1 Положения вправе не использовать кассовое оборудование юридические лица и индивидуальные предприниматели, которые осуществляют прием платежей в свой адрес и (или) адрес третьих лиц только в безналичной форме в соответствии с законодательством в области платежных систем и платежных услуг при одновременном соблюдении следующих условий: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прием платежа осуществляется без непосредственного обслуживания юридическими лицами и индивидуальными предпринимателями покупателей (потребителей), связанного с приемом платежа в свой адрес и (или) адрес третьих лиц;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прием такого платежа осуществляется через банки, небанковские кредитно-финансовые организации, иные платежные </w:t>
      </w:r>
      <w:proofErr w:type="spellStart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агрегаторы</w:t>
      </w:r>
      <w:proofErr w:type="spellEnd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.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lastRenderedPageBreak/>
        <w:t xml:space="preserve">субъектов хозяйствования, реализующих такие товары посредством платежных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агрегаторов</w:t>
      </w:r>
      <w:proofErr w:type="spellEnd"/>
      <w:r>
        <w:rPr>
          <w:rFonts w:ascii="TimesNewRomanPSMT" w:hAnsi="TimesNewRomanPSMT" w:cs="TimesNewRomanPSMT"/>
          <w:sz w:val="30"/>
          <w:szCs w:val="30"/>
        </w:rPr>
        <w:t>.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3. Возможность реализации медицинским работником в сельской местности, в которой отсутствуют аптеки, медицинских изделий и товаров аптечного ассортимента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без использования кассового оборудования</w:t>
      </w:r>
      <w:r>
        <w:rPr>
          <w:rFonts w:ascii="TimesNewRomanPSMT" w:hAnsi="TimesNewRomanPSMT" w:cs="TimesNewRomanPSMT"/>
          <w:sz w:val="30"/>
          <w:szCs w:val="30"/>
        </w:rPr>
        <w:t>.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Нормы постановления № 529/24 не запрещают субъектам хозяйствования обеспечивать ведение дифференцированного учета и осуществлять передачу в СККО информации о реализации товаров, подлежащих маркировке средствами идентификации. Инфраструктура СККО, государственной системы маркировки товаров унифицированными контрольными знаками или средствами идентификации, операторов программных кассовых систем готова для приема и обработки такой информации.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Субъекты хозяйствования в соответствии с постановлением № 529/24 без нарушения требований законодательства о приеме средств платежа и использования кассового оборудования, смогут до 1 марта 2029 г. урегулировать отдельные вопросы, связанные с ведением дифференцированного учета, передачей информации в систему контроля кассового оборудования о реализации товаров, маркированных средствами идентификации.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 № 529/24 направлено на удовлетворение потребительского спроса населения, проживающего в сельской местности, в том числе на медицинские изделия и товары аптечного ассортимента.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 №529/24 вступает в силу после его официального опубликования и распространяет свое действие на отношения, возникшие с 1 июля 2025 г.</w:t>
      </w:r>
    </w:p>
    <w:p w:rsidR="00B709CA" w:rsidRDefault="00B709CA" w:rsidP="00B709CA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B709CA" w:rsidRDefault="00B709CA" w:rsidP="00B709CA">
      <w:pPr>
        <w:ind w:firstLine="709"/>
        <w:rPr>
          <w:sz w:val="30"/>
          <w:szCs w:val="30"/>
        </w:rPr>
      </w:pP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709CA" w:rsidRDefault="00B709CA" w:rsidP="00B709CA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sectPr w:rsidR="00B709CA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1A" w:rsidRDefault="00702B1A">
      <w:r>
        <w:separator/>
      </w:r>
    </w:p>
  </w:endnote>
  <w:endnote w:type="continuationSeparator" w:id="0">
    <w:p w:rsidR="00702B1A" w:rsidRDefault="0070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1A" w:rsidRDefault="00702B1A">
      <w:r>
        <w:separator/>
      </w:r>
    </w:p>
  </w:footnote>
  <w:footnote w:type="continuationSeparator" w:id="0">
    <w:p w:rsidR="00702B1A" w:rsidRDefault="00702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2B1A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535BC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09CA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FF717-F016-4609-ABDE-E7D2C50C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7E0D-2AEF-44BF-AADB-0C75E5A3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4063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2025-07-22T06:31:00Z</cp:lastPrinted>
  <dcterms:created xsi:type="dcterms:W3CDTF">2025-10-01T12:27:00Z</dcterms:created>
  <dcterms:modified xsi:type="dcterms:W3CDTF">2025-10-01T12:27:00Z</dcterms:modified>
</cp:coreProperties>
</file>